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4D" w:rsidRPr="009F0A4D" w:rsidRDefault="009F0A4D" w:rsidP="009F0A4D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</w:pPr>
      <w:r w:rsidRPr="009F0A4D">
        <w:rPr>
          <w:rFonts w:ascii="Arial" w:eastAsia="Times New Roman" w:hAnsi="Arial" w:cs="Arial"/>
          <w:b/>
          <w:bCs/>
          <w:color w:val="272727"/>
          <w:kern w:val="36"/>
          <w:sz w:val="51"/>
          <w:szCs w:val="51"/>
          <w:lang w:eastAsia="ru-RU"/>
        </w:rPr>
        <w:t>Лёгкое дыхание</w:t>
      </w:r>
    </w:p>
    <w:p w:rsidR="009F0A4D" w:rsidRPr="009F0A4D" w:rsidRDefault="009F0A4D" w:rsidP="009F0A4D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Программа разработана для лечения пациентов, страдающих заболеваниями дыхательной системы.</w:t>
      </w:r>
    </w:p>
    <w:p w:rsidR="009F0A4D" w:rsidRPr="009F0A4D" w:rsidRDefault="009F0A4D" w:rsidP="009F0A4D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9F0A4D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Показания к проведению программы:</w:t>
      </w:r>
    </w:p>
    <w:p w:rsidR="009F0A4D" w:rsidRPr="009F0A4D" w:rsidRDefault="009F0A4D" w:rsidP="009F0A4D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Хронические риниты, ларингиты</w:t>
      </w:r>
    </w:p>
    <w:p w:rsidR="009F0A4D" w:rsidRPr="009F0A4D" w:rsidRDefault="009F0A4D" w:rsidP="009F0A4D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Хронические бронхиты в стадии ремиссии</w:t>
      </w:r>
    </w:p>
    <w:p w:rsidR="009F0A4D" w:rsidRPr="009F0A4D" w:rsidRDefault="009F0A4D" w:rsidP="009F0A4D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Бронхиальная астма в стадии ремиссии</w:t>
      </w:r>
    </w:p>
    <w:p w:rsidR="009F0A4D" w:rsidRPr="009F0A4D" w:rsidRDefault="009F0A4D" w:rsidP="009F0A4D">
      <w:pPr>
        <w:numPr>
          <w:ilvl w:val="0"/>
          <w:numId w:val="1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ХОБЛ (состояния после перенесённых пневмонии)</w:t>
      </w:r>
    </w:p>
    <w:p w:rsidR="009F0A4D" w:rsidRPr="009F0A4D" w:rsidRDefault="009F0A4D" w:rsidP="009F0A4D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9F0A4D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Содержание программы:</w:t>
      </w:r>
    </w:p>
    <w:p w:rsidR="009F0A4D" w:rsidRPr="009F0A4D" w:rsidRDefault="009F0A4D" w:rsidP="009F0A4D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9F0A4D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Диагностика: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лечащего врача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врача-физиотерапевта и врача ЛФК.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Консультация кардиолога (по показаниям).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крови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мочи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Общий анализ мокроты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Биохимический анализ крови (по показаниям)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ЭКГ (электрокардиограмма)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Рентгенография органов грудной клетки </w:t>
      </w:r>
      <w:proofErr w:type="gram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( по</w:t>
      </w:r>
      <w:proofErr w:type="gram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показаниям)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Спирография (обследование функций внешнего дыхания)</w:t>
      </w:r>
    </w:p>
    <w:p w:rsidR="009F0A4D" w:rsidRPr="009F0A4D" w:rsidRDefault="009F0A4D" w:rsidP="009F0A4D">
      <w:pPr>
        <w:numPr>
          <w:ilvl w:val="0"/>
          <w:numId w:val="2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Психодиагностика психоэмоционального состояния (по показаниям)</w:t>
      </w:r>
    </w:p>
    <w:p w:rsidR="009F0A4D" w:rsidRPr="009F0A4D" w:rsidRDefault="009F0A4D" w:rsidP="009F0A4D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9F0A4D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Лечебная программа: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Диетическое питание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bookmarkStart w:id="0" w:name="_GoBack"/>
      <w:bookmarkEnd w:id="0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Фитотерапия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Лечебная гимнастика, групповые занятия с инструктором (в зале ЛФК или в бассейне, при необходимости по индивидуальной программе)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Лечебное плавание в бассейне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Дозированная ходьба, терренкур, скандинавская ходьба (выбор метода осуществляет врач ЛФК)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Дыхательная гимнастика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Галокамера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(соляная пещера)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Гипокситерапия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(горный воздух)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lastRenderedPageBreak/>
        <w:t xml:space="preserve">Ингаляция (щелочные, </w:t>
      </w: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кармолис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, ромашка, шалфей, эвкалипт, </w:t>
      </w: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седативнфый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сбор, </w:t>
      </w: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лазолван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, </w:t>
      </w: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беротек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Водолечение (ванны: один из видов, душ: один из видов; через день по показаниям)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Массаж (один из видов)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Электросветолечение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(1-2 процедуры по показаниям, совместимость определяет врач)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Тепло-грязелечение (один из видов)  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gram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Инфракрасная  сауна</w:t>
      </w:r>
      <w:proofErr w:type="gram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- 1 раз в неделю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Фитобочка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- 1 раза в неделю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Иглорефлексотерапия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Внутривенное введение </w:t>
      </w: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-кислородной смеси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ВЛОК (внутривенное лазерное облучение крови)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Гирудотерапия (лечение медицинской пиявкой)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Психологическое консультирование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Сеансы релаксации.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Специальный аутотренинг (лечебно-оздоровительный настрой)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Цветотерапевтические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сеансы (по показаниям)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Посещение сенсорной комнаты и сеансов телесно-ориентированной терапии в сенсорной комнате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Школа душевного здоровья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Медикаментозная терапия по показаниям</w:t>
      </w:r>
    </w:p>
    <w:p w:rsidR="009F0A4D" w:rsidRPr="009F0A4D" w:rsidRDefault="009F0A4D" w:rsidP="009F0A4D">
      <w:pPr>
        <w:numPr>
          <w:ilvl w:val="0"/>
          <w:numId w:val="3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Гомеопатия</w:t>
      </w:r>
    </w:p>
    <w:p w:rsidR="009F0A4D" w:rsidRPr="009F0A4D" w:rsidRDefault="009F0A4D" w:rsidP="009F0A4D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Индивидуальную программу лечения составляет лечащий врач совместно с физиотерапевтом и врачом ЛФК, в зависимости от показаний и противопоказаний конкретного человека. В курс входят один вид ванн, один вид душа, с чередованием; одна процедура тепло- грязелечения, через день с ванными. Курсы ВЛОК, </w:t>
      </w: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озонотерапии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, гирудотерапии: один из видов; </w:t>
      </w:r>
      <w:proofErr w:type="spellStart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элетросветолечение</w:t>
      </w:r>
      <w:proofErr w:type="spellEnd"/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 xml:space="preserve"> (1-2 процедуры) или иглорефлексотерапия.</w:t>
      </w:r>
    </w:p>
    <w:p w:rsidR="009F0A4D" w:rsidRPr="009F0A4D" w:rsidRDefault="009F0A4D" w:rsidP="009F0A4D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</w:pPr>
      <w:r w:rsidRPr="009F0A4D">
        <w:rPr>
          <w:rFonts w:ascii="Arial" w:eastAsia="Times New Roman" w:hAnsi="Arial" w:cs="Arial"/>
          <w:b/>
          <w:bCs/>
          <w:color w:val="5B5153"/>
          <w:sz w:val="27"/>
          <w:szCs w:val="27"/>
          <w:lang w:eastAsia="ru-RU"/>
        </w:rPr>
        <w:t>Ожидаемые результаты:</w:t>
      </w:r>
    </w:p>
    <w:p w:rsidR="009F0A4D" w:rsidRPr="009F0A4D" w:rsidRDefault="009F0A4D" w:rsidP="009F0A4D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Уменьшение одышки, кашля; улучшение носового дыхания</w:t>
      </w:r>
    </w:p>
    <w:p w:rsidR="009F0A4D" w:rsidRPr="009F0A4D" w:rsidRDefault="009F0A4D" w:rsidP="009F0A4D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Повышение иммунитета дыхательной системы и организма в целом</w:t>
      </w:r>
    </w:p>
    <w:p w:rsidR="009F0A4D" w:rsidRPr="009F0A4D" w:rsidRDefault="009F0A4D" w:rsidP="009F0A4D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Повышение толерантности к физическим нагрузкам</w:t>
      </w:r>
    </w:p>
    <w:p w:rsidR="009F0A4D" w:rsidRPr="009F0A4D" w:rsidRDefault="009F0A4D" w:rsidP="009F0A4D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Достижение длительной ремиссии</w:t>
      </w:r>
    </w:p>
    <w:p w:rsidR="009F0A4D" w:rsidRPr="009F0A4D" w:rsidRDefault="009F0A4D" w:rsidP="009F0A4D">
      <w:pPr>
        <w:numPr>
          <w:ilvl w:val="0"/>
          <w:numId w:val="4"/>
        </w:numPr>
        <w:shd w:val="clear" w:color="auto" w:fill="FFFFFF"/>
        <w:spacing w:after="150" w:line="285" w:lineRule="atLeast"/>
        <w:rPr>
          <w:rFonts w:ascii="Arial" w:eastAsia="Times New Roman" w:hAnsi="Arial" w:cs="Arial"/>
          <w:color w:val="5B5153"/>
          <w:sz w:val="23"/>
          <w:szCs w:val="23"/>
          <w:lang w:eastAsia="ru-RU"/>
        </w:rPr>
      </w:pPr>
      <w:r w:rsidRPr="009F0A4D">
        <w:rPr>
          <w:rFonts w:ascii="Arial" w:eastAsia="Times New Roman" w:hAnsi="Arial" w:cs="Arial"/>
          <w:color w:val="5B5153"/>
          <w:sz w:val="23"/>
          <w:szCs w:val="23"/>
          <w:lang w:eastAsia="ru-RU"/>
        </w:rPr>
        <w:t>Улучшение качества жизни</w:t>
      </w:r>
    </w:p>
    <w:p w:rsidR="007F0B87" w:rsidRDefault="007F0B87"/>
    <w:sectPr w:rsidR="007F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6D80"/>
    <w:multiLevelType w:val="multilevel"/>
    <w:tmpl w:val="06E8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A1346"/>
    <w:multiLevelType w:val="multilevel"/>
    <w:tmpl w:val="4586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813DE"/>
    <w:multiLevelType w:val="multilevel"/>
    <w:tmpl w:val="B62C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51BFB"/>
    <w:multiLevelType w:val="multilevel"/>
    <w:tmpl w:val="4874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D"/>
    <w:rsid w:val="007F0B87"/>
    <w:rsid w:val="009F0A4D"/>
    <w:rsid w:val="00A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378E-0F17-4D3E-B8D8-780D12ED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0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A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2017-01-17T08:31:00Z</dcterms:created>
  <dcterms:modified xsi:type="dcterms:W3CDTF">2017-02-01T06:46:00Z</dcterms:modified>
</cp:coreProperties>
</file>